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09BA" w14:textId="77777777" w:rsidR="005512FD" w:rsidRDefault="005512FD" w:rsidP="005512FD">
      <w:pPr>
        <w:spacing w:after="150" w:line="336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Załącznik nr 2</w:t>
      </w:r>
    </w:p>
    <w:p w14:paraId="7A2AD8F1" w14:textId="77777777" w:rsidR="005512FD" w:rsidRDefault="005512FD" w:rsidP="005512FD">
      <w:pPr>
        <w:spacing w:after="150" w:line="336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Klauzula informacyjna</w:t>
      </w:r>
      <w:r>
        <w:rPr>
          <w:color w:val="000000" w:themeColor="text1"/>
        </w:rPr>
        <w:t xml:space="preserve"> *</w:t>
      </w:r>
    </w:p>
    <w:p w14:paraId="58D1947A" w14:textId="77777777" w:rsidR="005512FD" w:rsidRDefault="005512FD" w:rsidP="005512F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art. 13 ust. 1 i 2 </w:t>
      </w:r>
      <w:r>
        <w:rPr>
          <w:rFonts w:eastAsia="Calibri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color w:val="000000" w:themeColor="text1"/>
        </w:rPr>
        <w:t>dalej „</w:t>
      </w:r>
      <w:r>
        <w:rPr>
          <w:b/>
          <w:color w:val="000000" w:themeColor="text1"/>
        </w:rPr>
        <w:t>RODO</w:t>
      </w:r>
      <w:r>
        <w:rPr>
          <w:color w:val="000000" w:themeColor="text1"/>
        </w:rPr>
        <w:t xml:space="preserve">”, informuję, że: </w:t>
      </w:r>
    </w:p>
    <w:p w14:paraId="7B3A0121" w14:textId="77777777" w:rsidR="005512FD" w:rsidRDefault="005512FD" w:rsidP="005512FD">
      <w:pPr>
        <w:ind w:firstLine="567"/>
        <w:jc w:val="both"/>
        <w:rPr>
          <w:color w:val="000000" w:themeColor="text1"/>
        </w:rPr>
      </w:pPr>
    </w:p>
    <w:p w14:paraId="7B4A5601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Administratorem danych osobowych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jest:</w:t>
      </w:r>
    </w:p>
    <w:p w14:paraId="6DD270DA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Gmina Skórzec, ul. Siedlecka 3, 08-114 Skórzec, tel. 25 631 28 91;</w:t>
      </w:r>
    </w:p>
    <w:p w14:paraId="3D404B37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669245BC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Inspektorem Ochrony Danych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w imieniu Gminy Skórzec nadzoruje sferę przetwarzania danych osobowych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można kontaktować się pisząc na adres e-mail: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iod-sk@tbdsiedlce.pl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na adres siedziby wskazany w pkt. 1;</w:t>
      </w:r>
    </w:p>
    <w:p w14:paraId="148A2573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CB72B0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i podstawy przetwarzania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1FB8F79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nr RIG.3153.1.2020 pn. „Usuwanie i unieszkodliwianie azbestu z terenu Gminy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Skórzec“ prowadzonym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trybie zapytania ofertowego.</w:t>
      </w:r>
    </w:p>
    <w:p w14:paraId="4ABBDE03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40F6C1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Skórzec przetwarza Państwa dane osobowe w ściśle określonym, minimalnym zakresie niezbędnym do osiągnięcia celu, o którym mowa powyżej.</w:t>
      </w:r>
    </w:p>
    <w:p w14:paraId="6B46FF89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C6182B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szczególnych sytuacjach Gmina Skórzec może przekazać/powierzyć Państwa dane innym podmiotom na podstawie obowiązujących przepisów prawa np. wymiar sprawiedliwości, instytucje związane z obsługą funduszy unijnych, organy władzy publicznej.</w:t>
      </w:r>
    </w:p>
    <w:p w14:paraId="5399E497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E34CD2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Odbiorcy danych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806F792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Odbiorcami Pani/Pana danych osobowych będą osoby lub podmioty, którym udostępniona zostanie dokumentacja postępowania w oparciu o art. 10 ust. 1 ustawy z dnia 6 września 2001 r. o dostępie do informacji publicznej (Dz. U. z 2019 r. poz. 1429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zm.), dalej „ustawa”.  </w:t>
      </w:r>
    </w:p>
    <w:p w14:paraId="5E54695D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</w:p>
    <w:p w14:paraId="675B0001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 przechowywania danych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91C23CC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Pani/Pana dane osobowe będą przechowywane, zgodnie z przepisami Rozporządzenia Prezesa Rady Ministrów z dnia 18 stycznia 2011 r. w sprawie instrukcji kancelaryjnej, jednolitych rzeczowych wykazów akt oraz instrukcji w sprawie organizacji i zakresu działania archiwów zakładowych, przez okres 5 lat licząc od dnia 1 stycznia roku następującego po roku, w którym zakończono postępowanie, a dane zawarte w umowie z wybranym wykonawcą – przez okres 10 lat. </w:t>
      </w:r>
    </w:p>
    <w:p w14:paraId="3795FF22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</w:p>
    <w:p w14:paraId="106993C5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Prawa osób, których dane dotyczą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D56ACEE" w14:textId="77777777" w:rsidR="005512FD" w:rsidRDefault="005512FD" w:rsidP="00551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4135016D" w14:textId="77777777" w:rsidR="005512FD" w:rsidRDefault="005512FD" w:rsidP="005512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dostępu do danych osobowych Pani/Pana dotyczących;</w:t>
      </w:r>
    </w:p>
    <w:p w14:paraId="298479B5" w14:textId="77777777" w:rsidR="005512FD" w:rsidRDefault="005512FD" w:rsidP="005512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 sprostowania Pani/Pana danych osobowych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A3DD6B1" w14:textId="77777777" w:rsidR="005512FD" w:rsidRDefault="005512FD" w:rsidP="005512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żądania od administratora ograniczenia przetwarzania danych osobowych z zastrzeżeniem przypadków, o których mowa w art. 18 ust. 2 RODO;  </w:t>
      </w:r>
    </w:p>
    <w:p w14:paraId="11621826" w14:textId="77777777" w:rsidR="005512FD" w:rsidRDefault="005512FD" w:rsidP="005512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452718" w14:textId="77777777" w:rsidR="005512FD" w:rsidRDefault="005512FD" w:rsidP="00551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26F9B3E3" w14:textId="77777777" w:rsidR="005512FD" w:rsidRDefault="005512FD" w:rsidP="00551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5476E228" w14:textId="77777777" w:rsidR="005512FD" w:rsidRDefault="005512FD" w:rsidP="00551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6FCEF870" w14:textId="77777777" w:rsidR="005512FD" w:rsidRDefault="005512FD" w:rsidP="00551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21DCDB5" w14:textId="77777777" w:rsidR="005512FD" w:rsidRDefault="005512FD" w:rsidP="005512F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697DAE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 wymogu / dobrowolności podania danych osobowych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6076FD3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Obowiązek podania przez Panią/Pana danych osobowych bezpośrednio Pani/Pana dotyczących jest dobrowolny,</w:t>
      </w:r>
      <w:r>
        <w:rPr>
          <w:color w:val="FF0000"/>
        </w:rPr>
        <w:t xml:space="preserve"> </w:t>
      </w:r>
      <w:r>
        <w:rPr>
          <w:color w:val="000000" w:themeColor="text1"/>
        </w:rPr>
        <w:t>lecz niezbędny w celu rozpatrzenia oferty. Konsekwencją niepodania danych będzie pozostawienie oferty bez rozpatrzenia.</w:t>
      </w:r>
    </w:p>
    <w:p w14:paraId="1659D5FC" w14:textId="77777777" w:rsidR="005512FD" w:rsidRDefault="005512FD" w:rsidP="005512FD">
      <w:pPr>
        <w:jc w:val="both"/>
        <w:rPr>
          <w:color w:val="000000" w:themeColor="text1"/>
        </w:rPr>
      </w:pPr>
    </w:p>
    <w:p w14:paraId="0F72E06B" w14:textId="77777777" w:rsidR="005512FD" w:rsidRDefault="005512FD" w:rsidP="005512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Zautomatyzowane podejmowanie decyzji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518215E" w14:textId="77777777" w:rsidR="005512FD" w:rsidRDefault="005512FD" w:rsidP="005512FD">
      <w:pPr>
        <w:ind w:left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odniesieniu do Pani/Pana danych osobowych decyzje nie będą podejmowane w sposób zautomatyzowany oraz nie będą podlegały profilowaniu, stosowanie do art. 22 RODO.</w:t>
      </w:r>
    </w:p>
    <w:p w14:paraId="49C4EB57" w14:textId="77777777" w:rsidR="005512FD" w:rsidRDefault="005512FD" w:rsidP="005512FD">
      <w:pPr>
        <w:ind w:left="426"/>
        <w:contextualSpacing/>
        <w:jc w:val="both"/>
        <w:rPr>
          <w:rFonts w:eastAsia="Calibri"/>
          <w:color w:val="000000" w:themeColor="text1"/>
        </w:rPr>
      </w:pPr>
    </w:p>
    <w:p w14:paraId="22853A6E" w14:textId="77777777" w:rsidR="005512FD" w:rsidRDefault="005512FD" w:rsidP="005512FD">
      <w:pPr>
        <w:ind w:left="426"/>
        <w:contextualSpacing/>
        <w:jc w:val="both"/>
        <w:rPr>
          <w:rFonts w:eastAsia="Calibri"/>
          <w:color w:val="000000" w:themeColor="text1"/>
        </w:rPr>
      </w:pPr>
    </w:p>
    <w:p w14:paraId="6C1F4EEC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0823A016" w14:textId="77777777" w:rsidR="005512FD" w:rsidRDefault="005512FD" w:rsidP="005512FD">
      <w:pPr>
        <w:ind w:left="425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……………………, czerwca 2020r.                                 …………………………………….</w:t>
      </w:r>
    </w:p>
    <w:p w14:paraId="59C11248" w14:textId="77777777" w:rsidR="005512FD" w:rsidRDefault="005512FD" w:rsidP="005512FD">
      <w:pPr>
        <w:ind w:left="425"/>
        <w:contextualSpacing/>
        <w:jc w:val="both"/>
        <w:rPr>
          <w:rFonts w:eastAsia="Calibri"/>
          <w:i/>
          <w:color w:val="000000" w:themeColor="text1"/>
        </w:rPr>
      </w:pPr>
      <w:r>
        <w:rPr>
          <w:rFonts w:eastAsia="Calibri"/>
          <w:i/>
          <w:color w:val="000000" w:themeColor="text1"/>
        </w:rPr>
        <w:t xml:space="preserve">    (</w:t>
      </w:r>
      <w:proofErr w:type="gramStart"/>
      <w:r>
        <w:rPr>
          <w:rFonts w:eastAsia="Calibri"/>
          <w:i/>
          <w:color w:val="000000" w:themeColor="text1"/>
        </w:rPr>
        <w:t xml:space="preserve">miejscowość)   </w:t>
      </w:r>
      <w:proofErr w:type="gramEnd"/>
      <w:r>
        <w:rPr>
          <w:rFonts w:eastAsia="Calibri"/>
          <w:i/>
          <w:color w:val="000000" w:themeColor="text1"/>
        </w:rPr>
        <w:t xml:space="preserve">                                                                                                      (podpis)</w:t>
      </w:r>
    </w:p>
    <w:p w14:paraId="5EE72706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64D10D55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42F97542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771436B8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5D843790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34547FEE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28BCA787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6873A641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37BDFF01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0EEC98B7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25AB65AC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3B682C02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266D2F3B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45B9B07E" w14:textId="77777777" w:rsidR="005512FD" w:rsidRDefault="005512FD" w:rsidP="005512FD">
      <w:pPr>
        <w:spacing w:after="150" w:line="336" w:lineRule="auto"/>
        <w:ind w:left="426"/>
        <w:contextualSpacing/>
        <w:jc w:val="both"/>
        <w:rPr>
          <w:rFonts w:eastAsia="Calibri"/>
          <w:color w:val="000000" w:themeColor="text1"/>
        </w:rPr>
      </w:pPr>
    </w:p>
    <w:p w14:paraId="7FB4A53D" w14:textId="77777777" w:rsidR="005512FD" w:rsidRDefault="005512FD" w:rsidP="005512FD">
      <w:pPr>
        <w:spacing w:before="120" w:after="120" w:line="276" w:lineRule="auto"/>
        <w:jc w:val="both"/>
        <w:rPr>
          <w:rFonts w:eastAsia="Calibri"/>
          <w:color w:val="000000" w:themeColor="text1"/>
          <w:sz w:val="20"/>
        </w:rPr>
      </w:pPr>
      <w:r>
        <w:rPr>
          <w:rFonts w:eastAsia="Calibri"/>
          <w:color w:val="000000" w:themeColor="text1"/>
          <w:sz w:val="20"/>
        </w:rPr>
        <w:t>______________________</w:t>
      </w:r>
    </w:p>
    <w:p w14:paraId="503422B3" w14:textId="77777777" w:rsidR="005512FD" w:rsidRDefault="005512FD" w:rsidP="005512FD">
      <w:pPr>
        <w:spacing w:after="150"/>
        <w:ind w:left="426"/>
        <w:jc w:val="both"/>
        <w:rPr>
          <w:i/>
          <w:color w:val="000000" w:themeColor="text1"/>
          <w:sz w:val="20"/>
        </w:rPr>
      </w:pPr>
      <w:r>
        <w:rPr>
          <w:rFonts w:eastAsia="Calibri"/>
          <w:b/>
          <w:i/>
          <w:color w:val="000000" w:themeColor="text1"/>
          <w:sz w:val="20"/>
          <w:vertAlign w:val="superscript"/>
        </w:rPr>
        <w:t>*</w:t>
      </w:r>
      <w:r>
        <w:rPr>
          <w:rFonts w:eastAsia="Calibri"/>
          <w:b/>
          <w:i/>
          <w:color w:val="000000" w:themeColor="text1"/>
          <w:sz w:val="20"/>
        </w:rPr>
        <w:t xml:space="preserve"> Wyjaśnienie:</w:t>
      </w:r>
      <w:r>
        <w:rPr>
          <w:rFonts w:eastAsia="Calibri"/>
          <w:i/>
          <w:color w:val="000000" w:themeColor="text1"/>
          <w:sz w:val="20"/>
        </w:rPr>
        <w:t xml:space="preserve"> Zamawiający jest zobowiązany do spełnienia obowiązku informacyjnego względem osób fizycznych, od których dane osobowe bezpośrednio pozyskał</w:t>
      </w:r>
      <w:r>
        <w:rPr>
          <w:i/>
          <w:color w:val="000000" w:themeColor="text1"/>
          <w:sz w:val="20"/>
        </w:rPr>
        <w:t>.</w:t>
      </w:r>
    </w:p>
    <w:p w14:paraId="7B240B82" w14:textId="77777777" w:rsidR="005512FD" w:rsidRDefault="005512FD" w:rsidP="005512FD">
      <w:pPr>
        <w:ind w:left="426"/>
        <w:contextualSpacing/>
        <w:jc w:val="both"/>
        <w:rPr>
          <w:rFonts w:eastAsia="Calibri"/>
          <w:i/>
          <w:color w:val="000000" w:themeColor="text1"/>
          <w:sz w:val="20"/>
        </w:rPr>
      </w:pPr>
      <w:r>
        <w:rPr>
          <w:rFonts w:eastAsia="Calibri"/>
          <w:b/>
          <w:i/>
          <w:color w:val="000000" w:themeColor="text1"/>
          <w:sz w:val="20"/>
          <w:vertAlign w:val="superscript"/>
        </w:rPr>
        <w:t xml:space="preserve">** </w:t>
      </w:r>
      <w:r>
        <w:rPr>
          <w:rFonts w:eastAsia="Calibri"/>
          <w:b/>
          <w:i/>
          <w:color w:val="000000" w:themeColor="text1"/>
          <w:sz w:val="20"/>
        </w:rPr>
        <w:t>Wyjaśnienie:</w:t>
      </w:r>
      <w:r>
        <w:rPr>
          <w:rFonts w:eastAsia="Calibri"/>
          <w:i/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 xml:space="preserve">skorzystanie z prawa do sprostowania nie może skutkować zmianą </w:t>
      </w:r>
      <w:r>
        <w:rPr>
          <w:rFonts w:eastAsia="Calibri"/>
          <w:i/>
          <w:color w:val="000000" w:themeColor="text1"/>
          <w:sz w:val="20"/>
        </w:rPr>
        <w:t>wyniku postępowania</w:t>
      </w:r>
      <w:r>
        <w:rPr>
          <w:rFonts w:eastAsia="Calibri"/>
          <w:i/>
          <w:color w:val="000000" w:themeColor="text1"/>
          <w:sz w:val="20"/>
        </w:rPr>
        <w:br/>
        <w:t>o udzielenie zamówienia publicznego ani zmianą istotnych postanowień umowy.</w:t>
      </w:r>
    </w:p>
    <w:p w14:paraId="1D7267D7" w14:textId="77777777" w:rsidR="0009484B" w:rsidRDefault="0009484B"/>
    <w:sectPr w:rsidR="0009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46EBD"/>
    <w:multiLevelType w:val="hybridMultilevel"/>
    <w:tmpl w:val="CCDCCAB2"/>
    <w:lvl w:ilvl="0" w:tplc="CC709126">
      <w:start w:val="1"/>
      <w:numFmt w:val="lowerLetter"/>
      <w:lvlText w:val="%1)"/>
      <w:lvlJc w:val="left"/>
      <w:pPr>
        <w:ind w:left="1287" w:hanging="360"/>
      </w:pPr>
      <w:rPr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E428DA"/>
    <w:multiLevelType w:val="hybridMultilevel"/>
    <w:tmpl w:val="108E866E"/>
    <w:lvl w:ilvl="0" w:tplc="C8AABFDC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6933B7"/>
    <w:multiLevelType w:val="hybridMultilevel"/>
    <w:tmpl w:val="10387A9A"/>
    <w:lvl w:ilvl="0" w:tplc="CCF43528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D"/>
    <w:rsid w:val="0009484B"/>
    <w:rsid w:val="005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21F"/>
  <w15:chartTrackingRefBased/>
  <w15:docId w15:val="{B1E81AA1-F193-4E8B-9E18-56741E0E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2020-06-22T07:40:00Z</dcterms:created>
  <dcterms:modified xsi:type="dcterms:W3CDTF">2020-06-22T07:41:00Z</dcterms:modified>
</cp:coreProperties>
</file>